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CDEI Events Guidelines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This document will be used as suggested community guidelines for WHOI events, seminars, socials, workshops, etc.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of Conduct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Event organizers commit to upholding WHOI’s policies on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Anti-Harassment</w:t>
        </w:r>
      </w:hyperlink>
      <w:r w:rsidDel="00000000" w:rsidR="00000000" w:rsidRPr="00000000">
        <w:rPr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Improper Conduct</w:t>
        </w:r>
      </w:hyperlink>
      <w:r w:rsidDel="00000000" w:rsidR="00000000" w:rsidRPr="00000000">
        <w:rPr>
          <w:rtl w:val="0"/>
        </w:rPr>
        <w:t xml:space="preserve">, and they commit to taking appropriate action if any of WHOI’s policies are violated at their event.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Event organizers are encouraged to create and present their own code of conduct for the individual event or series of events.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Such codes of conduct should be presented to participants at the beginning of the event (or the first event in a series), and should be readily available to participants throughout the duration of the event.  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Such codes of conduct should include explicit explanations of expected behavior, unacceptable behavior, methods of reporting misconduct, and consequences of misconduct. 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Examples of good event codes of conduct: 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OCB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Carpentries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Event organizers are expected to cultivate an environment of openness, inclusivity, anti-racism, and anti-harassment at their event. 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Speaker/Presenter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Events with speakers, panels, or presentations are expected to have a diverse line-up of presenters across, at a minimum, race/ethnicity, and gender.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Be aware of the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“Diversity Tax”</w:t>
        </w:r>
      </w:hyperlink>
      <w:r w:rsidDel="00000000" w:rsidR="00000000" w:rsidRPr="00000000">
        <w:rPr>
          <w:rtl w:val="0"/>
        </w:rPr>
        <w:t xml:space="preserve"> on minority academics.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For seminar series and repeated events, keep demographic information on speakers to track representation over time. 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Consider inviting remote speakers via webinars/Zoom.</w:t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Accessibility and Inclusion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Events are required to meet ADA guidelines, including accessible building entry and seating, captioning or deaf interpreters when required, clear signage, etc. 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Ensure that events are promoted broadly to enhance inclusion in different mediums.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Provide contact information for the event organizers to allow accommodation requests from participants.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When sending RSVP forms, include questions about accommodations and inclusion.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For example: dietary restrictions, interpretation services or captioning, accessible seating, preferred pronouns if badges are used, etc. 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Provide an option for guests to fill in custom accommodations.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Consider avoiding scheduling an event on a major religious holiday or festival.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Providing catering that is accessible across religious/cultural diets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NOTE: I’d like to link WHOI’s ADA guidelines here, but I can’t find any. Does this exist within HR?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Event Evaluation and 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Both short and long-term metrics will help ensure that the comprehensive process of the events from planning to execution is accessible and inclusive.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Events are encouraged to keep track of demographic information on organizers, attendees and speakers, when appropriate.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Gender, racial and ethnic identities, disability status, etc.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Metrics for demographics of attendees should include a “prefer not to disclose option” for every demographic question.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Ensure that datasets on demographic information is de-identified to limit risk of exposure of confidential or sensitive information.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Provide feedback forms to event attendees to review diversity and inclusion of the event.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60CF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60CF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nature.com/articles/d41586-020-01920-6" TargetMode="External"/><Relationship Id="rId10" Type="http://schemas.openxmlformats.org/officeDocument/2006/relationships/hyperlink" Target="https://docs.carpentries.org/topic_folders/policies/code-of-conduct.html" TargetMode="External"/><Relationship Id="rId9" Type="http://schemas.openxmlformats.org/officeDocument/2006/relationships/hyperlink" Target="https://www.us-ocb.org/about/ocb-program-code-of-conduc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hoi.edu/page.do?pid=18997&amp;ct=901&amp;cid=842&amp;print=this" TargetMode="External"/><Relationship Id="rId8" Type="http://schemas.openxmlformats.org/officeDocument/2006/relationships/hyperlink" Target="https://www.whoi.edu/website/institution-policy/index?ct=901&amp;cid=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9dmZX/f3x2fTp4ZO+K0x500o/g==">AMUW2mUfnG117xZLQcqmq2eldmPfQXLXQZJjjEtpEoGA0cF9ZzRto9cm5nrvL2HkoC3+OrIIj+JzxFVaJY8V3RaeINulYHUGQwyjHL1kI/wLCnfBaM28rOJ6QOCHKUsxphTq47x0L59ucsPq6V1XL7AI9HtKP3zb+2Nt3wiXJBhThUTzJATOwRu6uI5RQVWpR5Wr4bfQ4YGlMbJxKkEIZt13Q6+zf2Sy2kEq/9qHqWeMmjL1l7Xc0rRBW6Th2NXEV0bYWwA5/KexHbJXPCQ7tCOHKoEOfV6M1e7r7GClXvB82LMeXEd7Kw/ZI071TwnLpJ1HP0D7vodqcgk2ktTWcSFqDeyTArje9VAsH/wZGuR116DkTlXbNiDWPNBXeChdlh+gYkgwYwU7fAIZ4IJsMLMfcUtZd+tlg8ftzGoFLZZcXZACc5cNd1WsH3gAnDYZMkkmrjxvED9kQ+jh8oND61q9ZYxUNksMXXTTbrDbFX9xBbjapL1fywr5zRxjrBFcVM9eYsl5R5s9zMudfzV37JE2xIQfoe3GzMasZ4xRMIPGR1DdJsfFF7LX+v9NonJSMxvsFFYthPZbllted8o6DS3UVHvDhd2fLjKRimt4EmIM+jbo3PUOVqi5VXWsVtSY+3C0DTsfs4TRjv7uvbkoKDa5WNdB/07p9q24uY1q2AmEqla9mm3FMznzW1Nu3yDZinwQhWQBDjpr97ZkC7hDKxX9U9hver2xCxxg51LvzETgMtublp3zyqJv22g72DPoztyVXSpsNhgmttF4Az6nVmQ9jnLTMgD/r1GErjI1/gN5s3ldfTmqzeVHBZOeRVF1bCDNwbSWPe9Zs212O7Zu0qX3zW174AN7BQtB2+WtRV9jqzWXmAFJiU8SDQNYDMa934Ex+ehaxf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2020-09-25T13:52:00Z</dcterms:created>
  <dc:creator>smadsen</dc:creator>
</cp:coreProperties>
</file>