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35DD6EDA"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EF77FB1" w:rsidR="00D81DBC" w:rsidRPr="00741B54" w:rsidRDefault="00D81DBC" w:rsidP="00D81DBC">
      <w:pPr>
        <w:rPr>
          <w:rFonts w:cs="Times New Roman"/>
          <w:b/>
          <w:bCs/>
        </w:rPr>
      </w:pPr>
      <w:r w:rsidRPr="00741B54">
        <w:rPr>
          <w:rFonts w:cs="Times New Roman"/>
          <w:b/>
          <w:bCs/>
        </w:rPr>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w:t>
      </w:r>
      <w:r w:rsidR="00CF129D" w:rsidRPr="00741B54">
        <w:rPr>
          <w:rFonts w:cs="Times New Roman"/>
          <w:b/>
          <w:bCs/>
        </w:rPr>
        <w:t>)</w:t>
      </w:r>
    </w:p>
    <w:p w14:paraId="1625B577" w14:textId="79B8EC5D" w:rsidR="003D3AFB" w:rsidRPr="00741B54" w:rsidRDefault="003D3AFB" w:rsidP="00205F63">
      <w:pPr>
        <w:pStyle w:val="Default"/>
      </w:pPr>
      <w:r w:rsidRPr="00741B54">
        <w:t xml:space="preserve">Employee benefits have been proposed using rates that are the total assignable to salaries of regular employees including paid absences, excluding Graduate Research Assistants, overtime salaries &amp; allotted paid leave benefits. </w:t>
      </w:r>
      <w:r w:rsidR="002D36F4">
        <w:t>In accordance with</w:t>
      </w:r>
      <w:r w:rsidR="002D36F4" w:rsidRPr="00157021">
        <w:t xml:space="preserve"> WHOI’s </w:t>
      </w:r>
      <w:r w:rsidR="002D36F4">
        <w:t>2025 provisional rate</w:t>
      </w:r>
      <w:r w:rsidR="002D36F4" w:rsidRPr="00157021">
        <w:t xml:space="preserve"> agreement with the Office of Naval Research dated</w:t>
      </w:r>
      <w:r w:rsidR="002D36F4">
        <w:t xml:space="preserve"> </w:t>
      </w:r>
      <w:r w:rsidR="00A2173B">
        <w:rPr>
          <w:sz w:val="23"/>
          <w:szCs w:val="23"/>
        </w:rPr>
        <w:t>December 5</w:t>
      </w:r>
      <w:r w:rsidR="00205F63">
        <w:rPr>
          <w:sz w:val="23"/>
          <w:szCs w:val="23"/>
        </w:rPr>
        <w:t>, 2025</w:t>
      </w:r>
      <w:r w:rsidR="002D36F4" w:rsidRPr="00157021">
        <w:t xml:space="preserve">, the fringe benefits rate </w:t>
      </w:r>
      <w:r w:rsidR="002D36F4">
        <w:t xml:space="preserve">applied to </w:t>
      </w:r>
      <w:r w:rsidR="002D36F4" w:rsidRPr="00157021">
        <w:t xml:space="preserve">regular salaries is </w:t>
      </w:r>
      <w:r w:rsidR="002D36F4">
        <w:t>3</w:t>
      </w:r>
      <w:r w:rsidR="00205F63">
        <w:t>5.15</w:t>
      </w:r>
      <w:r w:rsidR="002D36F4" w:rsidRPr="00157021">
        <w:t>%</w:t>
      </w:r>
      <w:r w:rsidR="002D36F4">
        <w:t xml:space="preserve"> </w:t>
      </w:r>
      <w:r w:rsidR="002D36F4" w:rsidRPr="00AF7F95">
        <w:t>and</w:t>
      </w:r>
      <w:r w:rsidR="002D36F4">
        <w:t xml:space="preserve"> to </w:t>
      </w:r>
      <w:r w:rsidR="002D36F4" w:rsidRPr="00AF7F95">
        <w:t xml:space="preserve">casual salaries is </w:t>
      </w:r>
      <w:r w:rsidR="002D36F4">
        <w:t>9.53</w:t>
      </w:r>
      <w:r w:rsidR="002D36F4" w:rsidRPr="00AF7F95">
        <w:t>%</w:t>
      </w:r>
      <w:r w:rsidR="002D36F4">
        <w:rPr>
          <w:color w:val="0000FF"/>
        </w:rPr>
        <w:t>.</w:t>
      </w:r>
      <w:r w:rsidRPr="00741B54">
        <w:t xml:space="preserve"> </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lastRenderedPageBreak/>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5EAFEBE4" w:rsidR="00435A0D" w:rsidRPr="00741B54" w:rsidRDefault="00435A0D" w:rsidP="00842624">
      <w:pPr>
        <w:pStyle w:val="Default"/>
      </w:pPr>
      <w:r w:rsidRPr="00741B54">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rsidR="008F3551">
        <w:t>5</w:t>
      </w:r>
      <w:r w:rsidRPr="00741B54">
        <w:t xml:space="preserve"> provisional rate agreement (dated </w:t>
      </w:r>
      <w:r w:rsidR="00A2173B">
        <w:rPr>
          <w:sz w:val="23"/>
          <w:szCs w:val="23"/>
        </w:rPr>
        <w:t>December 5</w:t>
      </w:r>
      <w:r w:rsidR="00842624">
        <w:rPr>
          <w:sz w:val="23"/>
          <w:szCs w:val="23"/>
        </w:rPr>
        <w:t>, 2025</w:t>
      </w:r>
      <w:r w:rsidRPr="00741B54">
        <w:t>)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149DB410" w:rsidR="00185CE8" w:rsidRPr="00741B54" w:rsidRDefault="00E2086C" w:rsidP="00D81DBC">
      <w:pPr>
        <w:rPr>
          <w:rFonts w:cs="Times New Roman"/>
          <w:i/>
        </w:rPr>
      </w:pPr>
      <w:r w:rsidRPr="00741B54">
        <w:rPr>
          <w:rFonts w:cs="Times New Roman"/>
          <w:i/>
          <w:highlight w:val="yellow"/>
        </w:rPr>
        <w:t>[Please list the fringe total generated by WHOI grants]</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2D8429B0"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xml:space="preserve">Costs </w:t>
            </w:r>
          </w:p>
        </w:tc>
        <w:tc>
          <w:tcPr>
            <w:tcW w:w="1024" w:type="dxa"/>
            <w:tcBorders>
              <w:top w:val="nil"/>
              <w:left w:val="nil"/>
              <w:bottom w:val="nil"/>
              <w:right w:val="nil"/>
            </w:tcBorders>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lastRenderedPageBreak/>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694B0B4C"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617B9A6D" w14:textId="06E9E8ED"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r w:rsidR="00F000C2" w:rsidRPr="00F000C2">
        <w:rPr>
          <w:rFonts w:cs="Times New Roman"/>
          <w:i/>
          <w:iCs/>
          <w:highlight w:val="yellow"/>
        </w:rPr>
        <w:t xml:space="preserve"> </w:t>
      </w:r>
      <w:r w:rsidR="00F000C2" w:rsidRPr="00E72303">
        <w:rPr>
          <w:rFonts w:cs="Times New Roman"/>
          <w:i/>
          <w:iCs/>
          <w:highlight w:val="yellow"/>
        </w:rPr>
        <w:t>For example:</w:t>
      </w:r>
      <w:r w:rsidR="00F000C2" w:rsidRPr="00E72303">
        <w:rPr>
          <w:rFonts w:cs="Times New Roman"/>
          <w:i/>
          <w:iCs/>
        </w:rPr>
        <w:t xml:space="preserve"> </w:t>
      </w:r>
      <w:r w:rsidR="00F000C2">
        <w:rPr>
          <w:rFonts w:cs="Times New Roman"/>
        </w:rPr>
        <w:t xml:space="preserve">Funds are budgeted to purchase two </w:t>
      </w:r>
      <w:proofErr w:type="spellStart"/>
      <w:r w:rsidR="00F000C2">
        <w:rPr>
          <w:rFonts w:cs="Times New Roman"/>
        </w:rPr>
        <w:t>Macbook</w:t>
      </w:r>
      <w:proofErr w:type="spellEnd"/>
      <w:r w:rsidR="00F000C2">
        <w:rPr>
          <w:rFonts w:cs="Times New Roman"/>
        </w:rPr>
        <w:t xml:space="preserve"> pro computers.  These computers will be used to …….ETC.</w:t>
      </w:r>
    </w:p>
    <w:p w14:paraId="5DE02495" w14:textId="77777777" w:rsidR="00D81DBC" w:rsidRDefault="00D81DBC" w:rsidP="00D81DBC">
      <w:pPr>
        <w:rPr>
          <w:rFonts w:cs="Times New Roman"/>
        </w:rPr>
      </w:pPr>
    </w:p>
    <w:p w14:paraId="6F939823" w14:textId="06A25020" w:rsidR="00F11A7E" w:rsidRPr="00741B54" w:rsidRDefault="00F11A7E" w:rsidP="00F11A7E">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sidR="007A4740">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F11A7E" w:rsidRPr="00741B54" w14:paraId="3E845A2F"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77D2"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416591"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240F3"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5284"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F11A7E" w:rsidRPr="00741B54" w14:paraId="32C43CB5"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49AC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5833D9F4"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583D4F10"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430F0875"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r w:rsidR="00F11A7E" w:rsidRPr="00741B54" w14:paraId="6AC9D78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9BB2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66E9BDD"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C5E6A6A"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0D254B63"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bl>
    <w:p w14:paraId="6B9288B6" w14:textId="77777777" w:rsidR="00F11A7E" w:rsidRPr="00741B54" w:rsidRDefault="00F11A7E" w:rsidP="00D81DBC">
      <w:pPr>
        <w:rPr>
          <w:rFonts w:cs="Times New Roman"/>
        </w:rPr>
      </w:pPr>
    </w:p>
    <w:p w14:paraId="7AE851ED" w14:textId="77777777" w:rsidR="002C6918" w:rsidRPr="00741B54" w:rsidRDefault="002C6918" w:rsidP="00D81DBC">
      <w:pPr>
        <w:rPr>
          <w:rFonts w:cs="Times New Roman"/>
        </w:rPr>
      </w:pPr>
    </w:p>
    <w:p w14:paraId="3D9BDD38" w14:textId="04B27E25"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w:t>
      </w:r>
    </w:p>
    <w:p w14:paraId="1F828B62" w14:textId="58869D77"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w:t>
      </w:r>
      <w:r w:rsidR="007A4740">
        <w:rPr>
          <w:rFonts w:cs="Times New Roman"/>
        </w:rPr>
        <w:t xml:space="preserve"> and </w:t>
      </w:r>
      <w:r w:rsidR="00EC37C7" w:rsidRPr="00741B54">
        <w:rPr>
          <w:rFonts w:cs="Times New Roman"/>
        </w:rPr>
        <w:t>tissue culturing flasks ($XXX</w:t>
      </w:r>
      <w:r w:rsidR="007A4740">
        <w:rPr>
          <w:rFonts w:cs="Times New Roman"/>
        </w:rPr>
        <w:t>)</w:t>
      </w:r>
      <w:r w:rsidRPr="00741B54">
        <w:rPr>
          <w:rFonts w:cs="Times New Roman"/>
        </w:rPr>
        <w:t>.</w:t>
      </w:r>
    </w:p>
    <w:p w14:paraId="6E29E080" w14:textId="77777777" w:rsidR="00D81DBC" w:rsidRPr="00741B54" w:rsidRDefault="00D81DBC" w:rsidP="00D81DBC">
      <w:pPr>
        <w:rPr>
          <w:rFonts w:cs="Times New Roman"/>
        </w:rPr>
      </w:pPr>
    </w:p>
    <w:p w14:paraId="246CF97F" w14:textId="282592F0" w:rsidR="00435A0D" w:rsidRPr="00741B54" w:rsidRDefault="00741B54" w:rsidP="00435A0D">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have </w:t>
      </w:r>
      <w:r w:rsidR="007A4740">
        <w:rPr>
          <w:rFonts w:cs="Times New Roman"/>
          <w:i/>
          <w:iCs/>
          <w:color w:val="000000" w:themeColor="text1"/>
          <w:highlight w:val="yellow"/>
        </w:rPr>
        <w:t>over 2 items</w:t>
      </w:r>
      <w:r w:rsidRPr="00F11A7E">
        <w:rPr>
          <w:rFonts w:cs="Times New Roman"/>
          <w:i/>
          <w:iCs/>
          <w:color w:val="000000" w:themeColor="text1"/>
          <w:highlight w:val="yellow"/>
        </w:rPr>
        <w:t xml:space="preserve">, please list these in the </w:t>
      </w:r>
      <w:r w:rsidR="00435A0D" w:rsidRPr="00F11A7E">
        <w:rPr>
          <w:rFonts w:cs="Times New Roman"/>
          <w:i/>
          <w:iCs/>
          <w:color w:val="000000" w:themeColor="text1"/>
          <w:highlight w:val="yellow"/>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2A1B64DC"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33DBC9CD" w:rsidR="00D81DBC" w:rsidRPr="00741B54" w:rsidRDefault="00D81DBC" w:rsidP="00D81DBC">
      <w:pPr>
        <w:rPr>
          <w:rFonts w:cs="Times New Roman"/>
        </w:rPr>
      </w:pPr>
      <w:r w:rsidRPr="00741B54">
        <w:rPr>
          <w:rFonts w:cs="Times New Roman"/>
          <w:b/>
          <w:bCs/>
        </w:rPr>
        <w:lastRenderedPageBreak/>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A6E50F4" w14:textId="6F0C6760" w:rsidR="00435A0D" w:rsidRPr="00741B54" w:rsidRDefault="002D36F4" w:rsidP="0036714D">
      <w:pPr>
        <w:pStyle w:val="Default"/>
      </w:pPr>
      <w:r>
        <w:t xml:space="preserve">In accordance with </w:t>
      </w:r>
      <w:r w:rsidRPr="00CD7D1C">
        <w:t xml:space="preserve">WHOI’s </w:t>
      </w:r>
      <w:r>
        <w:t>20</w:t>
      </w:r>
      <w:r w:rsidR="00A2173B">
        <w:t>2</w:t>
      </w:r>
      <w:r w:rsidR="008F3551">
        <w:t>5</w:t>
      </w:r>
      <w:r w:rsidRPr="00CD7D1C">
        <w:t xml:space="preserve"> </w:t>
      </w:r>
      <w:r>
        <w:t xml:space="preserve">ONR provisional </w:t>
      </w:r>
      <w:r w:rsidRPr="00CD7D1C">
        <w:t xml:space="preserve">rate agreement dated </w:t>
      </w:r>
      <w:r w:rsidR="00A2173B">
        <w:rPr>
          <w:sz w:val="23"/>
          <w:szCs w:val="23"/>
        </w:rPr>
        <w:t xml:space="preserve">December </w:t>
      </w:r>
      <w:r w:rsidR="00552E98">
        <w:rPr>
          <w:sz w:val="23"/>
          <w:szCs w:val="23"/>
        </w:rPr>
        <w:t>18</w:t>
      </w:r>
      <w:r w:rsidR="0036714D">
        <w:rPr>
          <w:sz w:val="23"/>
          <w:szCs w:val="23"/>
        </w:rPr>
        <w:t>, 2025</w:t>
      </w:r>
      <w:r w:rsidR="0036714D">
        <w:t>.</w:t>
      </w:r>
      <w:r w:rsidRPr="00CD7D1C">
        <w:t xml:space="preserve"> Indirect Costs </w:t>
      </w:r>
      <w:r>
        <w:t xml:space="preserve">are </w:t>
      </w:r>
      <w:r w:rsidRPr="00CD7D1C">
        <w:t xml:space="preserve">proposed at a rate of </w:t>
      </w:r>
      <w:r w:rsidR="00406140" w:rsidRPr="00406140">
        <w:t>65.25</w:t>
      </w:r>
      <w:r w:rsidRPr="00CD7D1C">
        <w:t xml:space="preserve">% on a Modified Total Direct Cost basis. </w:t>
      </w:r>
      <w:r>
        <w:t>E</w:t>
      </w:r>
      <w:r w:rsidRPr="00CD7D1C">
        <w:t xml:space="preserve">xclusions from </w:t>
      </w:r>
      <w:r>
        <w:t>the</w:t>
      </w:r>
      <w:r w:rsidRPr="00CD7D1C">
        <w:t xml:space="preserve"> MTDC base include </w:t>
      </w:r>
      <w:r w:rsidRPr="00205A7A">
        <w:t>graduate student tuition, equipment/capital expenditures over $5,000, the portion of each subaward over $</w:t>
      </w:r>
      <w:r w:rsidR="0036714D">
        <w:t>50</w:t>
      </w:r>
      <w:r w:rsidRPr="00205A7A">
        <w:t xml:space="preserve">,000, participant support costs, </w:t>
      </w:r>
      <w:r>
        <w:t xml:space="preserve">cruise leave/overtime costs, </w:t>
      </w:r>
      <w:r w:rsidRPr="00205A7A">
        <w:t xml:space="preserve">ship/submersible use, vessel charters, ship fuel, and maintenance and stabilization agreements for ship overhauls. </w:t>
      </w:r>
      <w:r>
        <w:t>Direct costs excluded from the MTDC base in this budget are indicated with an asterisk (*)</w:t>
      </w:r>
      <w:r w:rsidR="00435A0D" w:rsidRPr="00741B54">
        <w:t>.</w:t>
      </w: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27A32028" w:rsidR="00435A0D" w:rsidRPr="00741B54" w:rsidRDefault="00435A0D" w:rsidP="00435A0D">
      <w:pPr>
        <w:rPr>
          <w:rFonts w:cs="Times New Roman"/>
        </w:rPr>
      </w:pPr>
      <w:r w:rsidRPr="00741B54">
        <w:rPr>
          <w:rFonts w:cs="Times New Roman"/>
        </w:rPr>
        <w:t>Period 1 (period dates): Modified Total Direct Cost = Base ($) x Rate (</w:t>
      </w:r>
      <w:r w:rsidR="00406140" w:rsidRPr="00406140">
        <w:t>65.25</w:t>
      </w:r>
      <w:r w:rsidR="00CB09F9">
        <w:t>%</w:t>
      </w:r>
      <w:r w:rsidR="00CB09F9">
        <w:rPr>
          <w:rFonts w:cs="Times New Roman"/>
        </w:rPr>
        <w:t>*</w:t>
      </w:r>
      <w:r w:rsidRPr="00741B54">
        <w:rPr>
          <w:rFonts w:cs="Times New Roman"/>
        </w:rPr>
        <w:t>) = $</w:t>
      </w:r>
    </w:p>
    <w:p w14:paraId="106B6598" w14:textId="294D81FB" w:rsidR="00435A0D" w:rsidRPr="00741B54" w:rsidRDefault="00435A0D" w:rsidP="00435A0D">
      <w:pPr>
        <w:rPr>
          <w:rFonts w:cs="Times New Roman"/>
        </w:rPr>
      </w:pPr>
      <w:r w:rsidRPr="00741B54">
        <w:rPr>
          <w:rFonts w:cs="Times New Roman"/>
        </w:rPr>
        <w:t>Period 2 (period dates): Modified Total Direct Cost = Base ($) x Rate (</w:t>
      </w:r>
      <w:r w:rsidR="00406140" w:rsidRPr="00406140">
        <w:t>65.25</w:t>
      </w:r>
      <w:r w:rsidR="00CB09F9">
        <w:t>%</w:t>
      </w:r>
      <w:r w:rsidR="00CB09F9">
        <w:rPr>
          <w:rFonts w:cs="Times New Roman"/>
        </w:rPr>
        <w:t>*</w:t>
      </w:r>
      <w:r w:rsidRPr="00741B54">
        <w:rPr>
          <w:rFonts w:cs="Times New Roman"/>
        </w:rPr>
        <w:t>) = $</w:t>
      </w:r>
    </w:p>
    <w:p w14:paraId="03254446" w14:textId="5E976230" w:rsidR="00435A0D" w:rsidRPr="00741B54" w:rsidRDefault="00435A0D" w:rsidP="00435A0D">
      <w:pPr>
        <w:rPr>
          <w:rFonts w:cs="Times New Roman"/>
        </w:rPr>
      </w:pPr>
      <w:r w:rsidRPr="00741B54">
        <w:rPr>
          <w:rFonts w:cs="Times New Roman"/>
        </w:rPr>
        <w:t>Period 3 (period dates): Modified Total Direct Cost = Base ($) x Rate (</w:t>
      </w:r>
      <w:r w:rsidR="00406140" w:rsidRPr="00406140">
        <w:t>65.25</w:t>
      </w:r>
      <w:r w:rsidR="00CB09F9">
        <w:t>%</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1ACBFB6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A2173B">
        <w:rPr>
          <w:rFonts w:cs="Times New Roman"/>
          <w:b/>
          <w:i/>
          <w:color w:val="FF0000"/>
          <w:highlight w:val="yellow"/>
        </w:rPr>
        <w:t>4</w:t>
      </w:r>
      <w:r w:rsidR="00CD552A" w:rsidRPr="00741B54">
        <w:rPr>
          <w:rFonts w:cs="Times New Roman"/>
          <w:b/>
          <w:i/>
          <w:color w:val="FF0000"/>
          <w:highlight w:val="yellow"/>
        </w:rPr>
        <w:t>% for CINAR in 202</w:t>
      </w:r>
      <w:r w:rsidR="00A2173B">
        <w:rPr>
          <w:rFonts w:cs="Times New Roman"/>
          <w:b/>
          <w:i/>
          <w:color w:val="FF0000"/>
          <w:highlight w:val="yellow"/>
        </w:rPr>
        <w:t>6</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2D6E6B4C"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A2173B">
        <w:rPr>
          <w:rFonts w:cs="Times New Roman"/>
          <w:b/>
          <w:bCs/>
        </w:rPr>
        <w:t>4</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4F60" w14:textId="77777777" w:rsidR="00C30E7B" w:rsidRDefault="00C30E7B" w:rsidP="00D81DBC">
      <w:r>
        <w:separator/>
      </w:r>
    </w:p>
  </w:endnote>
  <w:endnote w:type="continuationSeparator" w:id="0">
    <w:p w14:paraId="2C6EF72D" w14:textId="77777777" w:rsidR="00C30E7B" w:rsidRDefault="00C30E7B"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27AC" w14:textId="77777777" w:rsidR="00C30E7B" w:rsidRDefault="00C30E7B" w:rsidP="00D81DBC">
      <w:r>
        <w:separator/>
      </w:r>
    </w:p>
  </w:footnote>
  <w:footnote w:type="continuationSeparator" w:id="0">
    <w:p w14:paraId="45E191D7" w14:textId="77777777" w:rsidR="00C30E7B" w:rsidRDefault="00C30E7B"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9440E"/>
    <w:rsid w:val="001D621C"/>
    <w:rsid w:val="00205F63"/>
    <w:rsid w:val="00264ABA"/>
    <w:rsid w:val="00297F61"/>
    <w:rsid w:val="002B3AE2"/>
    <w:rsid w:val="002B5B58"/>
    <w:rsid w:val="002C541C"/>
    <w:rsid w:val="002C6918"/>
    <w:rsid w:val="002D36F4"/>
    <w:rsid w:val="002F4E99"/>
    <w:rsid w:val="00303043"/>
    <w:rsid w:val="0030515F"/>
    <w:rsid w:val="00305C36"/>
    <w:rsid w:val="00322C29"/>
    <w:rsid w:val="003310B1"/>
    <w:rsid w:val="0036714D"/>
    <w:rsid w:val="003743CF"/>
    <w:rsid w:val="00383D3A"/>
    <w:rsid w:val="0039074B"/>
    <w:rsid w:val="003A358C"/>
    <w:rsid w:val="003B28D6"/>
    <w:rsid w:val="003B3FFE"/>
    <w:rsid w:val="003D03AF"/>
    <w:rsid w:val="003D28CF"/>
    <w:rsid w:val="003D3AFB"/>
    <w:rsid w:val="003D4411"/>
    <w:rsid w:val="003F3536"/>
    <w:rsid w:val="00406140"/>
    <w:rsid w:val="0042148F"/>
    <w:rsid w:val="004308AA"/>
    <w:rsid w:val="00435A0D"/>
    <w:rsid w:val="0046335F"/>
    <w:rsid w:val="004907F9"/>
    <w:rsid w:val="004D672F"/>
    <w:rsid w:val="004D76A7"/>
    <w:rsid w:val="004E440A"/>
    <w:rsid w:val="004E7D56"/>
    <w:rsid w:val="005112C6"/>
    <w:rsid w:val="00547897"/>
    <w:rsid w:val="00552E98"/>
    <w:rsid w:val="00572720"/>
    <w:rsid w:val="00573C06"/>
    <w:rsid w:val="0058383D"/>
    <w:rsid w:val="00592630"/>
    <w:rsid w:val="006013B2"/>
    <w:rsid w:val="00602054"/>
    <w:rsid w:val="00640052"/>
    <w:rsid w:val="00646DB6"/>
    <w:rsid w:val="00652633"/>
    <w:rsid w:val="0066021F"/>
    <w:rsid w:val="0066636C"/>
    <w:rsid w:val="00686535"/>
    <w:rsid w:val="006A246A"/>
    <w:rsid w:val="006C4941"/>
    <w:rsid w:val="006E0BF9"/>
    <w:rsid w:val="006F4E98"/>
    <w:rsid w:val="00713884"/>
    <w:rsid w:val="00727124"/>
    <w:rsid w:val="00741B54"/>
    <w:rsid w:val="00752843"/>
    <w:rsid w:val="0075297B"/>
    <w:rsid w:val="00775188"/>
    <w:rsid w:val="00783C82"/>
    <w:rsid w:val="00784A1C"/>
    <w:rsid w:val="00785020"/>
    <w:rsid w:val="00791CA0"/>
    <w:rsid w:val="007A4740"/>
    <w:rsid w:val="007A7ED5"/>
    <w:rsid w:val="007E7348"/>
    <w:rsid w:val="008141BE"/>
    <w:rsid w:val="00826FE9"/>
    <w:rsid w:val="00842624"/>
    <w:rsid w:val="008957AF"/>
    <w:rsid w:val="008A40A7"/>
    <w:rsid w:val="008B6B29"/>
    <w:rsid w:val="008D41B2"/>
    <w:rsid w:val="008D7C0A"/>
    <w:rsid w:val="008F3551"/>
    <w:rsid w:val="00921E1B"/>
    <w:rsid w:val="0093298F"/>
    <w:rsid w:val="00997DFD"/>
    <w:rsid w:val="009B5D78"/>
    <w:rsid w:val="009B70AE"/>
    <w:rsid w:val="009C63DB"/>
    <w:rsid w:val="009F1B5D"/>
    <w:rsid w:val="00A006A9"/>
    <w:rsid w:val="00A11400"/>
    <w:rsid w:val="00A2173B"/>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33B1F"/>
    <w:rsid w:val="00B45D3F"/>
    <w:rsid w:val="00B50813"/>
    <w:rsid w:val="00BB0585"/>
    <w:rsid w:val="00BE39A1"/>
    <w:rsid w:val="00BE76BE"/>
    <w:rsid w:val="00C30935"/>
    <w:rsid w:val="00C30E7B"/>
    <w:rsid w:val="00C6161C"/>
    <w:rsid w:val="00C82252"/>
    <w:rsid w:val="00CB09F9"/>
    <w:rsid w:val="00CC72B3"/>
    <w:rsid w:val="00CD552A"/>
    <w:rsid w:val="00CE0F49"/>
    <w:rsid w:val="00CE5654"/>
    <w:rsid w:val="00CF129D"/>
    <w:rsid w:val="00D23F70"/>
    <w:rsid w:val="00D54F73"/>
    <w:rsid w:val="00D81DBC"/>
    <w:rsid w:val="00DA6007"/>
    <w:rsid w:val="00DB0139"/>
    <w:rsid w:val="00DC524F"/>
    <w:rsid w:val="00E03604"/>
    <w:rsid w:val="00E05DA9"/>
    <w:rsid w:val="00E2086C"/>
    <w:rsid w:val="00E24D80"/>
    <w:rsid w:val="00E27C3C"/>
    <w:rsid w:val="00E51AF3"/>
    <w:rsid w:val="00E573E4"/>
    <w:rsid w:val="00E9467A"/>
    <w:rsid w:val="00EC37C7"/>
    <w:rsid w:val="00EF3526"/>
    <w:rsid w:val="00EF60B1"/>
    <w:rsid w:val="00F000C2"/>
    <w:rsid w:val="00F11A7E"/>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F63"/>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 w:type="paragraph" w:customStyle="1" w:styleId="Default">
    <w:name w:val="Default"/>
    <w:rsid w:val="0036714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40</cp:revision>
  <dcterms:created xsi:type="dcterms:W3CDTF">2022-12-20T16:27:00Z</dcterms:created>
  <dcterms:modified xsi:type="dcterms:W3CDTF">2026-03-27T16:21:00Z</dcterms:modified>
</cp:coreProperties>
</file>